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1EB17" w14:textId="288F8C42" w:rsidR="00433096"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817E7B" w:rsidRPr="00817E7B">
        <w:rPr>
          <w:rFonts w:ascii="Arial" w:hAnsi="Arial" w:cs="Arial"/>
          <w:b/>
          <w:bCs/>
          <w:sz w:val="28"/>
        </w:rPr>
        <w:t>0095</w:t>
      </w:r>
      <w:r w:rsidR="008727E1">
        <w:rPr>
          <w:rFonts w:ascii="Arial" w:hAnsi="Arial" w:cs="Arial"/>
          <w:b/>
          <w:bCs/>
          <w:sz w:val="28"/>
        </w:rPr>
        <w:t>6</w:t>
      </w:r>
    </w:p>
    <w:p w14:paraId="1F172407" w14:textId="3858284D" w:rsidR="00764120" w:rsidRPr="009513AC" w:rsidRDefault="003A4A4F" w:rsidP="00764120">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Taipei, </w:t>
      </w:r>
      <w:r w:rsidR="00764120">
        <w:rPr>
          <w:rFonts w:ascii="Arial" w:eastAsia="ＭＳ 明朝" w:hAnsi="Arial" w:cs="Arial"/>
          <w:b/>
          <w:bCs/>
          <w:sz w:val="28"/>
        </w:rPr>
        <w:t>21</w:t>
      </w:r>
      <w:r w:rsidR="00764120" w:rsidRPr="002826AF">
        <w:rPr>
          <w:rFonts w:ascii="Arial" w:eastAsia="ＭＳ 明朝" w:hAnsi="Arial" w:cs="Arial"/>
          <w:b/>
          <w:bCs/>
          <w:sz w:val="28"/>
          <w:vertAlign w:val="superscript"/>
        </w:rPr>
        <w:t>st</w:t>
      </w:r>
      <w:r w:rsidR="00764120">
        <w:rPr>
          <w:rFonts w:ascii="Arial" w:eastAsia="ＭＳ 明朝" w:hAnsi="Arial" w:cs="Arial"/>
          <w:b/>
          <w:bCs/>
          <w:sz w:val="28"/>
        </w:rPr>
        <w:t xml:space="preserve"> – 25</w:t>
      </w:r>
      <w:r w:rsidR="00764120" w:rsidRPr="002826AF">
        <w:rPr>
          <w:rFonts w:ascii="Arial" w:eastAsia="ＭＳ 明朝" w:hAnsi="Arial" w:cs="Arial"/>
          <w:b/>
          <w:bCs/>
          <w:sz w:val="28"/>
          <w:vertAlign w:val="superscript"/>
        </w:rPr>
        <w:t>th</w:t>
      </w:r>
      <w:r w:rsidR="00764120">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C8AE2D8"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aspects</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FB07C99" w14:textId="77777777" w:rsidR="00484F06" w:rsidRPr="00484F06" w:rsidRDefault="00484F06" w:rsidP="00484F06">
            <w:pPr>
              <w:spacing w:before="180"/>
              <w:ind w:left="576" w:hanging="288"/>
              <w:rPr>
                <w:rFonts w:eastAsia="游明朝"/>
                <w:sz w:val="20"/>
              </w:rPr>
            </w:pPr>
            <w:r w:rsidRPr="00484F06">
              <w:rPr>
                <w:rFonts w:eastAsia="游明朝" w:hint="eastAsia"/>
                <w:sz w:val="20"/>
              </w:rPr>
              <w:t>-</w:t>
            </w:r>
            <w:r w:rsidRPr="00484F06">
              <w:rPr>
                <w:rFonts w:eastAsia="游明朝" w:hint="eastAsia"/>
                <w:sz w:val="20"/>
              </w:rPr>
              <w:tab/>
              <w:t>Physical layer aspects</w:t>
            </w:r>
            <w:r w:rsidRPr="00484F06">
              <w:rPr>
                <w:rFonts w:eastAsia="游明朝"/>
                <w:sz w:val="20"/>
              </w:rPr>
              <w:t xml:space="preserve"> including [RAN1]</w:t>
            </w:r>
            <w:r w:rsidRPr="00484F06">
              <w:rPr>
                <w:rFonts w:eastAsia="游明朝" w:hint="eastAsia"/>
                <w:sz w:val="20"/>
              </w:rPr>
              <w:t>:</w:t>
            </w:r>
          </w:p>
          <w:p w14:paraId="40A8CBC7" w14:textId="77777777" w:rsidR="00484F06" w:rsidRPr="00484F06" w:rsidRDefault="00484F06" w:rsidP="00484F06">
            <w:pPr>
              <w:ind w:left="851" w:hanging="284"/>
              <w:rPr>
                <w:rFonts w:eastAsia="游明朝"/>
                <w:sz w:val="20"/>
              </w:rPr>
            </w:pPr>
            <w:r w:rsidRPr="00484F06">
              <w:rPr>
                <w:rFonts w:eastAsia="游明朝" w:hint="eastAsia"/>
                <w:sz w:val="20"/>
              </w:rPr>
              <w:t>-</w:t>
            </w:r>
            <w:r w:rsidRPr="00484F06">
              <w:rPr>
                <w:rFonts w:eastAsia="游明朝" w:hint="eastAsia"/>
                <w:sz w:val="20"/>
              </w:rPr>
              <w:tab/>
            </w:r>
            <w:r w:rsidRPr="00484F06">
              <w:rPr>
                <w:rFonts w:eastAsia="游明朝"/>
                <w:sz w:val="20"/>
              </w:rPr>
              <w:t>Frame structure including single and multiple DL to UL and UL to DL switching points within a shared COT with associated identified LBT requirements (TR Section 7.2.1.3.1).</w:t>
            </w:r>
          </w:p>
          <w:p w14:paraId="269E751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7FF17D3"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Subcarrier spacing for control and data channels supporting 15kHz, 30kHz, and 60kHz (air-interface perspective; optionality to be discussed separately).</w:t>
            </w:r>
          </w:p>
          <w:p w14:paraId="0041C808"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484F06">
              <w:rPr>
                <w:rFonts w:eastAsia="游明朝"/>
                <w:sz w:val="20"/>
              </w:rPr>
              <w:t>subbands</w:t>
            </w:r>
            <w:proofErr w:type="spellEnd"/>
            <w:r w:rsidRPr="00484F06">
              <w:rPr>
                <w:rFonts w:eastAsia="游明朝"/>
                <w:sz w:val="20"/>
              </w:rPr>
              <w:t xml:space="preserve"> within the wideband carrier. For all wide-band operation cases, CCA is performed in units of 20MHz (at least for 5GHz).</w:t>
            </w:r>
          </w:p>
          <w:p w14:paraId="76A38E3B"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B945788" w14:textId="7AACE6C3"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PRACH including possible extension of PRACH format(s) in line with agreements during the SI phase (TR 38.889, Section 7.2.1.2) to support minimum bandwidth requirement given by regulation. Determine the applicability of Rel-15 NR formats to NR-U operation.</w:t>
            </w:r>
            <w:r>
              <w:rPr>
                <w:rFonts w:eastAsia="游明朝"/>
                <w:sz w:val="20"/>
              </w:rPr>
              <w:t xml:space="preserve"> </w:t>
            </w:r>
            <w:r w:rsidRPr="00484F06">
              <w:rPr>
                <w:rFonts w:eastAsia="游明朝"/>
                <w:sz w:val="20"/>
              </w:rPr>
              <w:t>RAN1 should decide whether 60 kHz subcarrier spacing for PRACH is supported, based on a unified design with 15 kHz and 30 kHz PRACH for meeting occupied channel bandwidth (OCB) requirements.</w:t>
            </w:r>
          </w:p>
          <w:p w14:paraId="04EEEC6E" w14:textId="6E8C5D2F"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5CF0DA5A"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1EF596D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SRS including the introduction of additional flexibility in configuring/triggering SRS in line with agreements during the study phase.</w:t>
            </w:r>
          </w:p>
          <w:p w14:paraId="4EA8C8BD"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For DL data channel, support of multiple PDSCH starting positions.</w:t>
            </w:r>
          </w:p>
          <w:p w14:paraId="3C29E68F" w14:textId="77777777" w:rsidR="00484F06" w:rsidRPr="00484F06" w:rsidRDefault="00484F06" w:rsidP="00484F06">
            <w:pPr>
              <w:ind w:left="851" w:hanging="284"/>
              <w:rPr>
                <w:rFonts w:eastAsia="游明朝"/>
                <w:sz w:val="20"/>
              </w:rPr>
            </w:pPr>
            <w:r w:rsidRPr="00484F06">
              <w:rPr>
                <w:rFonts w:eastAsia="游明朝"/>
                <w:sz w:val="20"/>
              </w:rPr>
              <w:lastRenderedPageBreak/>
              <w:t>-</w:t>
            </w:r>
            <w:r w:rsidRPr="00484F06">
              <w:rPr>
                <w:rFonts w:eastAsia="游明朝"/>
                <w:sz w:val="20"/>
              </w:rPr>
              <w:tab/>
              <w:t xml:space="preserve">Mechanism to detect a </w:t>
            </w:r>
            <w:proofErr w:type="spellStart"/>
            <w:r w:rsidRPr="00484F06">
              <w:rPr>
                <w:rFonts w:eastAsia="游明朝"/>
                <w:sz w:val="20"/>
              </w:rPr>
              <w:t>gNB’s</w:t>
            </w:r>
            <w:proofErr w:type="spellEnd"/>
            <w:r w:rsidRPr="00484F06">
              <w:rPr>
                <w:rFonts w:eastAsia="游明朝"/>
                <w:sz w:val="20"/>
              </w:rPr>
              <w:t xml:space="preserve"> transmission burst in line with </w:t>
            </w:r>
            <w:bookmarkStart w:id="2" w:name="_Hlk532422148"/>
            <w:r w:rsidRPr="00484F06">
              <w:rPr>
                <w:rFonts w:eastAsia="游明朝"/>
                <w:sz w:val="20"/>
              </w:rPr>
              <w:t>the TR 38.889, Section 7.2.1.2</w:t>
            </w:r>
            <w:bookmarkEnd w:id="2"/>
            <w:r w:rsidRPr="00484F06">
              <w:rPr>
                <w:rFonts w:eastAsia="游明朝"/>
                <w:sz w:val="20"/>
              </w:rPr>
              <w:t xml:space="preserve"> related to UE power consumption.</w:t>
            </w:r>
          </w:p>
          <w:p w14:paraId="607EE953" w14:textId="4F5E5EE0" w:rsidR="00764120"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50A4BB6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0DDCE2F2" w14:textId="14AFD833" w:rsidR="009517C5" w:rsidRPr="009517C5" w:rsidRDefault="009E2267" w:rsidP="00E903A9">
      <w:pPr>
        <w:pStyle w:val="1"/>
        <w:numPr>
          <w:ilvl w:val="0"/>
          <w:numId w:val="6"/>
        </w:numPr>
        <w:spacing w:before="180" w:after="120"/>
        <w:rPr>
          <w:rFonts w:eastAsia="ＭＳ 明朝"/>
          <w:b/>
          <w:bCs/>
          <w:szCs w:val="24"/>
          <w:lang w:val="en-US"/>
        </w:rPr>
      </w:pPr>
      <w:r>
        <w:rPr>
          <w:rFonts w:eastAsia="ＭＳ 明朝"/>
          <w:b/>
          <w:bCs/>
          <w:szCs w:val="24"/>
          <w:lang w:val="en-US"/>
        </w:rPr>
        <w:t>Wideband operation in NR-U</w:t>
      </w:r>
    </w:p>
    <w:p w14:paraId="4632555E" w14:textId="738C49D4"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8B57DC">
        <w:rPr>
          <w:sz w:val="22"/>
          <w:szCs w:val="22"/>
          <w:lang w:val="en-US"/>
        </w:rPr>
        <w:t>wideband operation in NR-U</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0FD8DE6A" w14:textId="77777777" w:rsidR="009E2267" w:rsidRPr="009E2267" w:rsidRDefault="009E2267" w:rsidP="009E2267">
            <w:pPr>
              <w:rPr>
                <w:rFonts w:eastAsia="Malgun Gothic"/>
                <w:sz w:val="20"/>
                <w:lang w:eastAsia="ko-KR"/>
              </w:rPr>
            </w:pPr>
            <w:r w:rsidRPr="009E2267">
              <w:rPr>
                <w:rFonts w:eastAsia="Malgun Gothic" w:hint="eastAsia"/>
                <w:sz w:val="20"/>
                <w:lang w:eastAsia="ko-KR"/>
              </w:rPr>
              <w:t>For</w:t>
            </w:r>
            <w:r w:rsidRPr="009E2267">
              <w:rPr>
                <w:rFonts w:eastAsia="Malgun Gothic"/>
                <w:sz w:val="20"/>
                <w:lang w:eastAsia="ko-KR"/>
              </w:rPr>
              <w:t xml:space="preserve"> wideband operation for both DL and UL,</w:t>
            </w:r>
          </w:p>
          <w:p w14:paraId="0DD93D69" w14:textId="77777777" w:rsidR="009E2267" w:rsidRPr="009E2267" w:rsidRDefault="009E2267" w:rsidP="009E2267">
            <w:pPr>
              <w:pStyle w:val="B1"/>
              <w:rPr>
                <w:sz w:val="20"/>
                <w:lang w:val="en-US"/>
              </w:rPr>
            </w:pPr>
            <w:r w:rsidRPr="009E2267">
              <w:rPr>
                <w:sz w:val="20"/>
                <w:lang w:val="en-US"/>
              </w:rPr>
              <w:t>-</w:t>
            </w:r>
            <w:r w:rsidRPr="009E2267">
              <w:rPr>
                <w:sz w:val="20"/>
                <w:lang w:val="en-US"/>
              </w:rPr>
              <w:tab/>
            </w:r>
            <w:r w:rsidRPr="009E2267">
              <w:rPr>
                <w:rFonts w:hint="eastAsia"/>
                <w:sz w:val="20"/>
                <w:lang w:val="en-US"/>
              </w:rPr>
              <w:t>Bandwidth larger than 20 MHz can be supported with multiple serving cells.</w:t>
            </w:r>
          </w:p>
          <w:p w14:paraId="6215A1C3" w14:textId="77777777" w:rsidR="009E2267" w:rsidRPr="009E2267" w:rsidRDefault="009E2267" w:rsidP="009E2267">
            <w:pPr>
              <w:pStyle w:val="B1"/>
              <w:rPr>
                <w:sz w:val="20"/>
                <w:lang w:val="en-US"/>
              </w:rPr>
            </w:pPr>
            <w:r w:rsidRPr="009E2267">
              <w:rPr>
                <w:sz w:val="20"/>
                <w:lang w:val="en-US"/>
              </w:rPr>
              <w:t>-</w:t>
            </w:r>
            <w:r w:rsidRPr="009E2267">
              <w:rPr>
                <w:sz w:val="20"/>
                <w:lang w:val="en-US"/>
              </w:rPr>
              <w:tab/>
              <w:t xml:space="preserve">NR-U should support that a serving cell can be configured with bandwidth larger than 20 </w:t>
            </w:r>
            <w:proofErr w:type="spellStart"/>
            <w:r w:rsidRPr="009E2267">
              <w:rPr>
                <w:sz w:val="20"/>
                <w:lang w:val="en-US"/>
              </w:rPr>
              <w:t>MHz.</w:t>
            </w:r>
            <w:proofErr w:type="spellEnd"/>
            <w:r w:rsidRPr="009E2267">
              <w:rPr>
                <w:sz w:val="20"/>
                <w:lang w:val="en-US"/>
              </w:rPr>
              <w:t xml:space="preserve"> </w:t>
            </w:r>
          </w:p>
          <w:p w14:paraId="72EB8DA7" w14:textId="77777777" w:rsidR="009E2267" w:rsidRPr="009E2267" w:rsidRDefault="009E2267" w:rsidP="009E2267">
            <w:pPr>
              <w:rPr>
                <w:rFonts w:eastAsia="Malgun Gothic"/>
                <w:sz w:val="20"/>
                <w:lang w:eastAsia="ko-KR"/>
              </w:rPr>
            </w:pPr>
            <w:r w:rsidRPr="009E2267">
              <w:rPr>
                <w:rFonts w:eastAsia="Malgun Gothic"/>
                <w:sz w:val="20"/>
                <w:lang w:eastAsia="ko-KR"/>
              </w:rPr>
              <w:t>For DL operation, the following options for BWP-based operation within a carrier with bandwidth larger than 20 MHz can be considered.</w:t>
            </w:r>
          </w:p>
          <w:p w14:paraId="51A63B60"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1a: Multiple BWPs configured, multiple BWPs activated, transmission of PDSCH on one or more BWPs</w:t>
            </w:r>
          </w:p>
          <w:p w14:paraId="7140A784"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1b: Multiple BWPs configured, multiple BWPs activated, transmission of PDSCH on single BWP</w:t>
            </w:r>
          </w:p>
          <w:p w14:paraId="58676465" w14:textId="77777777" w:rsidR="009E2267" w:rsidRPr="009E2267" w:rsidRDefault="009E2267" w:rsidP="009E2267">
            <w:pPr>
              <w:pStyle w:val="B1"/>
              <w:rPr>
                <w:sz w:val="20"/>
                <w:lang w:val="en-US"/>
              </w:rPr>
            </w:pPr>
            <w:r w:rsidRPr="009E2267">
              <w:rPr>
                <w:sz w:val="20"/>
                <w:lang w:val="en-US"/>
              </w:rPr>
              <w:t>-</w:t>
            </w:r>
            <w:r w:rsidRPr="009E2267">
              <w:rPr>
                <w:sz w:val="20"/>
                <w:lang w:val="en-US"/>
              </w:rPr>
              <w:tab/>
              <w:t xml:space="preserve">Option 2: Multiple BWPs can be configured, single BWP activated, </w:t>
            </w:r>
            <w:proofErr w:type="spellStart"/>
            <w:r w:rsidRPr="009E2267">
              <w:rPr>
                <w:sz w:val="20"/>
                <w:lang w:val="en-US"/>
              </w:rPr>
              <w:t>gNB</w:t>
            </w:r>
            <w:proofErr w:type="spellEnd"/>
            <w:r w:rsidRPr="009E2267">
              <w:rPr>
                <w:sz w:val="20"/>
                <w:lang w:val="en-US"/>
              </w:rPr>
              <w:t xml:space="preserve"> transmits PDSCH on a single BWP if CCA is successful at </w:t>
            </w:r>
            <w:proofErr w:type="spellStart"/>
            <w:r w:rsidRPr="009E2267">
              <w:rPr>
                <w:sz w:val="20"/>
                <w:lang w:val="en-US"/>
              </w:rPr>
              <w:t>gNB</w:t>
            </w:r>
            <w:proofErr w:type="spellEnd"/>
            <w:r w:rsidRPr="009E2267">
              <w:rPr>
                <w:sz w:val="20"/>
                <w:lang w:val="en-US"/>
              </w:rPr>
              <w:t xml:space="preserve"> for the whole BWP</w:t>
            </w:r>
          </w:p>
          <w:p w14:paraId="118350D5" w14:textId="77777777" w:rsidR="009E2267" w:rsidRPr="009E2267" w:rsidRDefault="009E2267" w:rsidP="009E2267">
            <w:pPr>
              <w:pStyle w:val="B1"/>
              <w:rPr>
                <w:sz w:val="20"/>
                <w:lang w:val="en-US"/>
              </w:rPr>
            </w:pPr>
            <w:r w:rsidRPr="009E2267">
              <w:rPr>
                <w:sz w:val="20"/>
                <w:lang w:val="en-US"/>
              </w:rPr>
              <w:t>-</w:t>
            </w:r>
            <w:r w:rsidRPr="009E2267">
              <w:rPr>
                <w:sz w:val="20"/>
                <w:lang w:val="en-US"/>
              </w:rPr>
              <w:tab/>
              <w:t xml:space="preserve">Option 3: Multiple BWPs can be configured, single BWP activated, </w:t>
            </w:r>
            <w:proofErr w:type="spellStart"/>
            <w:r w:rsidRPr="009E2267">
              <w:rPr>
                <w:sz w:val="20"/>
                <w:lang w:val="en-US"/>
              </w:rPr>
              <w:t>gNB</w:t>
            </w:r>
            <w:proofErr w:type="spellEnd"/>
            <w:r w:rsidRPr="009E2267">
              <w:rPr>
                <w:sz w:val="20"/>
                <w:lang w:val="en-US"/>
              </w:rPr>
              <w:t xml:space="preserve"> transmits PDSCH on parts or whole of single BWP where CCA is successful at </w:t>
            </w:r>
            <w:proofErr w:type="spellStart"/>
            <w:r w:rsidRPr="009E2267">
              <w:rPr>
                <w:sz w:val="20"/>
                <w:lang w:val="en-US"/>
              </w:rPr>
              <w:t>gNB</w:t>
            </w:r>
            <w:proofErr w:type="spellEnd"/>
          </w:p>
          <w:p w14:paraId="75C0C28F" w14:textId="77777777" w:rsidR="009E2267" w:rsidRPr="009E2267" w:rsidRDefault="009E2267" w:rsidP="009E2267">
            <w:pPr>
              <w:rPr>
                <w:rFonts w:eastAsia="Malgun Gothic"/>
                <w:sz w:val="20"/>
                <w:lang w:eastAsia="ko-KR"/>
              </w:rPr>
            </w:pPr>
            <w:r w:rsidRPr="009E2267">
              <w:rPr>
                <w:sz w:val="20"/>
                <w:lang w:val="en-US"/>
              </w:rPr>
              <w:t>For UL operation, the following options for BWP-based operation within a carrier with bandwidth larger than 20 MHz can be considered.</w:t>
            </w:r>
          </w:p>
          <w:p w14:paraId="7EF4D737"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1a: Multiple BWPs configured, multiple BWPs activated, transmission of PUSCH on one or more BWPs</w:t>
            </w:r>
          </w:p>
          <w:p w14:paraId="11F14F25"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1b: Multiple BWPs configured, multiple BWPs activated, transmission of PUSCH on single BWP</w:t>
            </w:r>
          </w:p>
          <w:p w14:paraId="71760326"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2: Multiple BWPs can be configured, single BWP activated, UE transmits PUSCH on a single BWP if CCA is successful at UE for the whole BWP</w:t>
            </w:r>
          </w:p>
          <w:p w14:paraId="5763B84C" w14:textId="77777777" w:rsidR="009E2267" w:rsidRPr="009E2267" w:rsidRDefault="009E2267" w:rsidP="009E2267">
            <w:pPr>
              <w:pStyle w:val="B1"/>
              <w:rPr>
                <w:sz w:val="20"/>
                <w:lang w:val="en-US"/>
              </w:rPr>
            </w:pPr>
            <w:r w:rsidRPr="009E2267">
              <w:rPr>
                <w:sz w:val="20"/>
                <w:lang w:val="en-US"/>
              </w:rPr>
              <w:t>-</w:t>
            </w:r>
            <w:r w:rsidRPr="009E2267">
              <w:rPr>
                <w:sz w:val="20"/>
                <w:lang w:val="en-US"/>
              </w:rPr>
              <w:tab/>
              <w:t>Option 3: Multiple BWPs can be configured, single BWP activated, UE transmits PUSCH on parts or whole of single BWP where CCA is successful at UE</w:t>
            </w:r>
          </w:p>
          <w:p w14:paraId="27A2203D" w14:textId="77777777" w:rsidR="009E2267" w:rsidRPr="009E2267" w:rsidRDefault="009E2267" w:rsidP="009E2267">
            <w:pPr>
              <w:rPr>
                <w:rFonts w:eastAsia="Malgun Gothic"/>
                <w:sz w:val="20"/>
                <w:lang w:eastAsia="ko-KR"/>
              </w:rPr>
            </w:pPr>
            <w:r w:rsidRPr="009E2267">
              <w:rPr>
                <w:rFonts w:eastAsia="Malgun Gothic"/>
                <w:sz w:val="20"/>
                <w:lang w:eastAsia="ko-KR"/>
              </w:rPr>
              <w:t xml:space="preserve">It is noted that CCA is declared to be successful or not in multiples of 20 </w:t>
            </w:r>
            <w:proofErr w:type="spellStart"/>
            <w:r w:rsidRPr="009E2267">
              <w:rPr>
                <w:rFonts w:eastAsia="Malgun Gothic"/>
                <w:sz w:val="20"/>
                <w:lang w:eastAsia="ko-KR"/>
              </w:rPr>
              <w:t>MHz.</w:t>
            </w:r>
            <w:proofErr w:type="spellEnd"/>
          </w:p>
          <w:p w14:paraId="33F3F970" w14:textId="6555DB6C" w:rsidR="00BB00D9" w:rsidRPr="009E2267" w:rsidRDefault="009E2267" w:rsidP="009E2267">
            <w:pPr>
              <w:rPr>
                <w:rFonts w:eastAsia="Malgun Gothic"/>
                <w:lang w:eastAsia="ko-KR"/>
              </w:rPr>
            </w:pPr>
            <w:r w:rsidRPr="009E2267">
              <w:rPr>
                <w:rFonts w:eastAsia="Malgun Gothic"/>
                <w:sz w:val="20"/>
                <w:lang w:eastAsia="ko-KR"/>
              </w:rPr>
              <w:t xml:space="preserve">Detailed design and potential selection from the above options can be further discussed when specifications are developed considering protocol and RF aspects. </w:t>
            </w:r>
          </w:p>
        </w:tc>
      </w:tr>
    </w:tbl>
    <w:p w14:paraId="1BF53B96" w14:textId="2E4B52BB" w:rsidR="004D0495" w:rsidRDefault="004D0495" w:rsidP="00C517C8">
      <w:pPr>
        <w:spacing w:afterLines="50" w:after="120"/>
        <w:rPr>
          <w:sz w:val="22"/>
          <w:szCs w:val="22"/>
          <w:lang w:val="en-US"/>
        </w:rPr>
      </w:pPr>
    </w:p>
    <w:p w14:paraId="64A84520" w14:textId="3BD7846C" w:rsidR="00D809CD" w:rsidRDefault="007E18AA" w:rsidP="00516B6D">
      <w:pPr>
        <w:spacing w:afterLines="50" w:after="120"/>
        <w:rPr>
          <w:sz w:val="22"/>
          <w:szCs w:val="22"/>
          <w:lang w:val="en-US"/>
        </w:rPr>
      </w:pPr>
      <w:r>
        <w:rPr>
          <w:rFonts w:hint="eastAsia"/>
          <w:sz w:val="22"/>
          <w:szCs w:val="22"/>
          <w:lang w:val="en-US"/>
        </w:rPr>
        <w:t xml:space="preserve">In </w:t>
      </w:r>
      <w:r>
        <w:rPr>
          <w:sz w:val="22"/>
          <w:szCs w:val="22"/>
          <w:lang w:val="en-US"/>
        </w:rPr>
        <w:t xml:space="preserve">the TR description, </w:t>
      </w:r>
      <w:r w:rsidR="009E2267">
        <w:rPr>
          <w:sz w:val="22"/>
          <w:szCs w:val="22"/>
          <w:lang w:val="en-US"/>
        </w:rPr>
        <w:t xml:space="preserve">there are 4 options </w:t>
      </w:r>
      <w:r w:rsidR="00913712">
        <w:rPr>
          <w:sz w:val="22"/>
          <w:szCs w:val="22"/>
          <w:lang w:val="en-US"/>
        </w:rPr>
        <w:t>for wideband operations for DL and UL respectively</w:t>
      </w:r>
      <w:r>
        <w:rPr>
          <w:sz w:val="22"/>
          <w:szCs w:val="22"/>
          <w:lang w:val="en-US"/>
        </w:rPr>
        <w:t>.</w:t>
      </w:r>
      <w:r w:rsidR="00913712">
        <w:rPr>
          <w:sz w:val="22"/>
          <w:szCs w:val="22"/>
          <w:lang w:val="en-US"/>
        </w:rPr>
        <w:t xml:space="preserve"> </w:t>
      </w:r>
      <w:r w:rsidR="008B57DC">
        <w:rPr>
          <w:sz w:val="22"/>
          <w:szCs w:val="22"/>
          <w:lang w:val="en-US"/>
        </w:rPr>
        <w:t xml:space="preserve">Considering the symmetric design between DL and UL, it is preferable to apply the same option for both DL and UL. </w:t>
      </w:r>
      <w:r w:rsidR="00507E25">
        <w:rPr>
          <w:sz w:val="22"/>
          <w:szCs w:val="22"/>
          <w:lang w:val="en-US"/>
        </w:rPr>
        <w:t>Option 1a and 1b in which multiple BWPs are activated have a large impact to specification</w:t>
      </w:r>
      <w:r w:rsidR="000B0A37">
        <w:rPr>
          <w:rFonts w:hint="eastAsia"/>
          <w:sz w:val="22"/>
          <w:szCs w:val="22"/>
          <w:lang w:val="en-US"/>
        </w:rPr>
        <w:t>s</w:t>
      </w:r>
      <w:r w:rsidR="00507E25">
        <w:rPr>
          <w:sz w:val="22"/>
          <w:szCs w:val="22"/>
          <w:lang w:val="en-US"/>
        </w:rPr>
        <w:t xml:space="preserve">. </w:t>
      </w:r>
      <w:r w:rsidR="00913712">
        <w:rPr>
          <w:sz w:val="22"/>
          <w:szCs w:val="22"/>
          <w:lang w:val="en-US"/>
        </w:rPr>
        <w:t xml:space="preserve">Therefore, </w:t>
      </w:r>
      <w:r w:rsidR="00057C69">
        <w:rPr>
          <w:sz w:val="22"/>
          <w:szCs w:val="22"/>
          <w:lang w:val="en-US"/>
        </w:rPr>
        <w:t xml:space="preserve">single </w:t>
      </w:r>
      <w:r w:rsidR="00913712">
        <w:rPr>
          <w:sz w:val="22"/>
          <w:szCs w:val="22"/>
          <w:lang w:val="en-US"/>
        </w:rPr>
        <w:t xml:space="preserve">activated BWP should be </w:t>
      </w:r>
      <w:r w:rsidR="00E978FC">
        <w:rPr>
          <w:sz w:val="22"/>
          <w:szCs w:val="22"/>
          <w:lang w:val="en-US"/>
        </w:rPr>
        <w:t>assumed</w:t>
      </w:r>
      <w:r w:rsidR="00507E25">
        <w:rPr>
          <w:sz w:val="22"/>
          <w:szCs w:val="22"/>
          <w:lang w:val="en-US"/>
        </w:rPr>
        <w:t xml:space="preserve"> for NR-U</w:t>
      </w:r>
      <w:r w:rsidR="007E0749">
        <w:rPr>
          <w:sz w:val="22"/>
          <w:szCs w:val="22"/>
          <w:lang w:val="en-US"/>
        </w:rPr>
        <w:t>.</w:t>
      </w:r>
      <w:r w:rsidR="00057C69">
        <w:rPr>
          <w:sz w:val="22"/>
          <w:szCs w:val="22"/>
          <w:lang w:val="en-US"/>
        </w:rPr>
        <w:t xml:space="preserve"> </w:t>
      </w:r>
    </w:p>
    <w:p w14:paraId="2A8E5A26" w14:textId="1F05DB90" w:rsidR="00FF4919" w:rsidRDefault="001524EC" w:rsidP="00516B6D">
      <w:pPr>
        <w:spacing w:afterLines="50" w:after="120"/>
        <w:rPr>
          <w:sz w:val="22"/>
          <w:szCs w:val="22"/>
          <w:lang w:val="en-US"/>
        </w:rPr>
      </w:pPr>
      <w:r>
        <w:rPr>
          <w:sz w:val="22"/>
          <w:szCs w:val="22"/>
          <w:lang w:val="en-US"/>
        </w:rPr>
        <w:t xml:space="preserve">Then, we </w:t>
      </w:r>
      <w:r w:rsidR="006065A2">
        <w:rPr>
          <w:sz w:val="22"/>
          <w:szCs w:val="22"/>
          <w:lang w:val="en-US"/>
        </w:rPr>
        <w:t>should consider</w:t>
      </w:r>
      <w:r>
        <w:rPr>
          <w:sz w:val="22"/>
          <w:szCs w:val="22"/>
          <w:lang w:val="en-US"/>
        </w:rPr>
        <w:t xml:space="preserve"> the need</w:t>
      </w:r>
      <w:r w:rsidR="006065A2">
        <w:rPr>
          <w:sz w:val="22"/>
          <w:szCs w:val="22"/>
          <w:lang w:val="en-US"/>
        </w:rPr>
        <w:t xml:space="preserve"> and feasibility</w:t>
      </w:r>
      <w:r>
        <w:rPr>
          <w:sz w:val="22"/>
          <w:szCs w:val="22"/>
          <w:lang w:val="en-US"/>
        </w:rPr>
        <w:t xml:space="preserve"> of transmission using a part of BWP depending on LBT outcome.</w:t>
      </w:r>
      <w:r w:rsidR="000810BD">
        <w:rPr>
          <w:sz w:val="22"/>
          <w:szCs w:val="22"/>
          <w:lang w:val="en-US"/>
        </w:rPr>
        <w:t xml:space="preserve"> We think this operation has a great effect </w:t>
      </w:r>
      <w:r w:rsidR="006065A2">
        <w:rPr>
          <w:sz w:val="22"/>
          <w:szCs w:val="22"/>
          <w:lang w:val="en-US"/>
        </w:rPr>
        <w:t>on</w:t>
      </w:r>
      <w:r w:rsidR="00B1684C">
        <w:rPr>
          <w:sz w:val="22"/>
          <w:szCs w:val="22"/>
          <w:lang w:val="en-US"/>
        </w:rPr>
        <w:t xml:space="preserve"> </w:t>
      </w:r>
      <w:r w:rsidR="006065A2">
        <w:rPr>
          <w:sz w:val="22"/>
          <w:szCs w:val="22"/>
          <w:lang w:val="en-US"/>
        </w:rPr>
        <w:t xml:space="preserve">the efficiency of </w:t>
      </w:r>
      <w:r w:rsidR="00B1684C">
        <w:rPr>
          <w:sz w:val="22"/>
          <w:szCs w:val="22"/>
          <w:lang w:val="en-US"/>
        </w:rPr>
        <w:t>frequency resource</w:t>
      </w:r>
      <w:r w:rsidR="006065A2">
        <w:rPr>
          <w:sz w:val="22"/>
          <w:szCs w:val="22"/>
          <w:lang w:val="en-US"/>
        </w:rPr>
        <w:t xml:space="preserve"> usage</w:t>
      </w:r>
      <w:r w:rsidR="00B1684C">
        <w:rPr>
          <w:sz w:val="22"/>
          <w:szCs w:val="22"/>
          <w:lang w:val="en-US"/>
        </w:rPr>
        <w:t xml:space="preserve"> in unlicensed band. Channel bonding mechanism that is implemented in many IEEE 802.11 systems is </w:t>
      </w:r>
      <w:r w:rsidR="006065A2">
        <w:rPr>
          <w:sz w:val="22"/>
          <w:szCs w:val="22"/>
          <w:lang w:val="en-US"/>
        </w:rPr>
        <w:t xml:space="preserve">a </w:t>
      </w:r>
      <w:r w:rsidR="00B1684C">
        <w:rPr>
          <w:sz w:val="22"/>
          <w:szCs w:val="22"/>
          <w:lang w:val="en-US"/>
        </w:rPr>
        <w:t>similar mechanism</w:t>
      </w:r>
      <w:r w:rsidR="003B4F87">
        <w:rPr>
          <w:sz w:val="22"/>
          <w:szCs w:val="22"/>
          <w:lang w:val="en-US"/>
        </w:rPr>
        <w:t xml:space="preserve">. </w:t>
      </w:r>
      <w:r w:rsidR="000810BD">
        <w:rPr>
          <w:sz w:val="22"/>
          <w:szCs w:val="22"/>
          <w:lang w:val="en-US"/>
        </w:rPr>
        <w:lastRenderedPageBreak/>
        <w:t xml:space="preserve">We think it is necessary </w:t>
      </w:r>
      <w:r w:rsidR="006065A2">
        <w:rPr>
          <w:sz w:val="22"/>
          <w:szCs w:val="22"/>
          <w:lang w:val="en-US"/>
        </w:rPr>
        <w:t xml:space="preserve">for NR-U </w:t>
      </w:r>
      <w:r w:rsidR="000810BD">
        <w:rPr>
          <w:sz w:val="22"/>
          <w:szCs w:val="22"/>
          <w:lang w:val="en-US"/>
        </w:rPr>
        <w:t xml:space="preserve">to achieve high channel usage efficiency as almost same level of coexisting Wi-Fi systems. </w:t>
      </w:r>
    </w:p>
    <w:p w14:paraId="663BF53B" w14:textId="225C5EF1" w:rsidR="00FF4919" w:rsidRDefault="00FF4919" w:rsidP="00516B6D">
      <w:pPr>
        <w:spacing w:afterLines="50" w:after="120"/>
        <w:rPr>
          <w:sz w:val="22"/>
          <w:szCs w:val="22"/>
          <w:lang w:val="en-US"/>
        </w:rPr>
      </w:pPr>
      <w:r>
        <w:rPr>
          <w:sz w:val="22"/>
          <w:szCs w:val="22"/>
          <w:lang w:val="en-US"/>
        </w:rPr>
        <w:t xml:space="preserve">Additionally, according to LS reply from RAN4, new RF requirements are necessary for that operation and RAN4 </w:t>
      </w:r>
      <w:r w:rsidR="006065A2">
        <w:rPr>
          <w:sz w:val="22"/>
          <w:szCs w:val="22"/>
          <w:lang w:val="en-US"/>
        </w:rPr>
        <w:t>will</w:t>
      </w:r>
      <w:r>
        <w:rPr>
          <w:sz w:val="22"/>
          <w:szCs w:val="22"/>
          <w:lang w:val="en-US"/>
        </w:rPr>
        <w:t xml:space="preserve"> study </w:t>
      </w:r>
      <w:r w:rsidR="006065A2">
        <w:rPr>
          <w:sz w:val="22"/>
          <w:szCs w:val="22"/>
          <w:lang w:val="en-US"/>
        </w:rPr>
        <w:t xml:space="preserve">on them </w:t>
      </w:r>
      <w:r>
        <w:rPr>
          <w:sz w:val="22"/>
          <w:szCs w:val="22"/>
          <w:lang w:val="en-US"/>
        </w:rPr>
        <w:t xml:space="preserve">[3]. </w:t>
      </w:r>
    </w:p>
    <w:p w14:paraId="45A4328C" w14:textId="4CB30EC7" w:rsidR="000B4E81" w:rsidRDefault="000B4E81" w:rsidP="00516B6D">
      <w:pPr>
        <w:spacing w:afterLines="50" w:after="120"/>
        <w:rPr>
          <w:sz w:val="22"/>
          <w:szCs w:val="22"/>
          <w:lang w:val="en-US"/>
        </w:rPr>
      </w:pPr>
      <w:r>
        <w:rPr>
          <w:rFonts w:hint="eastAsia"/>
          <w:sz w:val="22"/>
          <w:szCs w:val="22"/>
          <w:lang w:val="en-US"/>
        </w:rPr>
        <w:t xml:space="preserve">Above discussion is </w:t>
      </w:r>
      <w:r w:rsidR="006065A2">
        <w:rPr>
          <w:sz w:val="22"/>
          <w:szCs w:val="22"/>
          <w:lang w:val="en-US"/>
        </w:rPr>
        <w:t>applicable</w:t>
      </w:r>
      <w:r w:rsidR="006065A2">
        <w:rPr>
          <w:rFonts w:hint="eastAsia"/>
          <w:sz w:val="22"/>
          <w:szCs w:val="22"/>
          <w:lang w:val="en-US"/>
        </w:rPr>
        <w:t xml:space="preserve"> </w:t>
      </w:r>
      <w:r>
        <w:rPr>
          <w:rFonts w:hint="eastAsia"/>
          <w:sz w:val="22"/>
          <w:szCs w:val="22"/>
          <w:lang w:val="en-US"/>
        </w:rPr>
        <w:t>to both of DL and UL in NR-U.</w:t>
      </w:r>
      <w:r w:rsidR="00FF4919">
        <w:rPr>
          <w:sz w:val="22"/>
          <w:szCs w:val="22"/>
          <w:lang w:val="en-US"/>
        </w:rPr>
        <w:t xml:space="preserve"> </w:t>
      </w:r>
      <w:r w:rsidR="006E0F6A">
        <w:rPr>
          <w:sz w:val="22"/>
          <w:szCs w:val="22"/>
          <w:lang w:val="en-US"/>
        </w:rPr>
        <w:t xml:space="preserve">Therefore, we </w:t>
      </w:r>
      <w:r w:rsidR="006065A2">
        <w:rPr>
          <w:sz w:val="22"/>
          <w:szCs w:val="22"/>
          <w:lang w:val="en-US"/>
        </w:rPr>
        <w:t xml:space="preserve">propose to </w:t>
      </w:r>
      <w:r w:rsidR="006E0F6A">
        <w:rPr>
          <w:sz w:val="22"/>
          <w:szCs w:val="22"/>
          <w:lang w:val="en-US"/>
        </w:rPr>
        <w:t>support option 2 for both of DL and UL.</w:t>
      </w:r>
    </w:p>
    <w:p w14:paraId="767B0AEE" w14:textId="2D22CBB6" w:rsidR="006065A2" w:rsidRDefault="00E903A9" w:rsidP="00060E40">
      <w:pPr>
        <w:spacing w:before="120" w:after="120"/>
        <w:rPr>
          <w:rFonts w:eastAsia="Batang"/>
          <w:b/>
          <w:sz w:val="22"/>
          <w:szCs w:val="22"/>
          <w:lang w:eastAsia="ko-KR"/>
        </w:rPr>
      </w:pPr>
      <w:r w:rsidRPr="008D4091">
        <w:rPr>
          <w:rFonts w:eastAsia="Batang"/>
          <w:b/>
          <w:sz w:val="22"/>
          <w:szCs w:val="22"/>
          <w:lang w:eastAsia="ko-KR"/>
        </w:rPr>
        <w:t>Proposal</w:t>
      </w:r>
      <w:r>
        <w:rPr>
          <w:rFonts w:eastAsia="Batang"/>
          <w:b/>
          <w:sz w:val="22"/>
          <w:szCs w:val="22"/>
          <w:lang w:eastAsia="ko-KR"/>
        </w:rPr>
        <w:t xml:space="preserve">: </w:t>
      </w:r>
      <w:r w:rsidR="00060E40">
        <w:rPr>
          <w:rFonts w:eastAsia="Batang"/>
          <w:b/>
          <w:sz w:val="22"/>
          <w:szCs w:val="22"/>
          <w:lang w:eastAsia="ko-KR"/>
        </w:rPr>
        <w:t>For DL</w:t>
      </w:r>
      <w:r w:rsidR="006065A2">
        <w:rPr>
          <w:rFonts w:eastAsia="Batang"/>
          <w:b/>
          <w:sz w:val="22"/>
          <w:szCs w:val="22"/>
          <w:lang w:eastAsia="ko-KR"/>
        </w:rPr>
        <w:t xml:space="preserve"> and UL in NR-U</w:t>
      </w:r>
      <w:r w:rsidR="00060E40">
        <w:rPr>
          <w:rFonts w:eastAsia="Batang"/>
          <w:b/>
          <w:sz w:val="22"/>
          <w:szCs w:val="22"/>
          <w:lang w:eastAsia="ko-KR"/>
        </w:rPr>
        <w:t xml:space="preserve">, </w:t>
      </w:r>
      <w:r w:rsidR="006065A2">
        <w:rPr>
          <w:rFonts w:eastAsia="Batang"/>
          <w:b/>
          <w:sz w:val="22"/>
          <w:szCs w:val="22"/>
          <w:lang w:eastAsia="ko-KR"/>
        </w:rPr>
        <w:t>wideband operation based on following mechanisms is supported.</w:t>
      </w:r>
    </w:p>
    <w:p w14:paraId="72573DAB" w14:textId="20D6A3D4" w:rsidR="006065A2" w:rsidRDefault="006065A2" w:rsidP="00060E40">
      <w:pPr>
        <w:pStyle w:val="afc"/>
        <w:numPr>
          <w:ilvl w:val="0"/>
          <w:numId w:val="14"/>
        </w:numPr>
        <w:spacing w:before="120" w:after="120"/>
        <w:ind w:leftChars="0"/>
        <w:rPr>
          <w:rFonts w:eastAsia="Batang"/>
          <w:b/>
          <w:sz w:val="22"/>
          <w:szCs w:val="22"/>
          <w:lang w:eastAsia="ko-KR"/>
        </w:rPr>
      </w:pPr>
      <w:r>
        <w:rPr>
          <w:rFonts w:eastAsia="Batang"/>
          <w:b/>
          <w:sz w:val="22"/>
          <w:szCs w:val="22"/>
          <w:lang w:eastAsia="ko-KR"/>
        </w:rPr>
        <w:t>M</w:t>
      </w:r>
      <w:r w:rsidR="00060E40" w:rsidRPr="006065A2">
        <w:rPr>
          <w:rFonts w:eastAsia="Batang"/>
          <w:b/>
          <w:sz w:val="22"/>
          <w:szCs w:val="22"/>
          <w:lang w:eastAsia="ko-KR"/>
        </w:rPr>
        <w:t xml:space="preserve">ultiple BWPs can be configured, single BWP activated, </w:t>
      </w:r>
      <w:proofErr w:type="spellStart"/>
      <w:r w:rsidR="00060E40" w:rsidRPr="006065A2">
        <w:rPr>
          <w:rFonts w:eastAsia="Batang"/>
          <w:b/>
          <w:sz w:val="22"/>
          <w:szCs w:val="22"/>
          <w:lang w:eastAsia="ko-KR"/>
        </w:rPr>
        <w:t>gNB</w:t>
      </w:r>
      <w:proofErr w:type="spellEnd"/>
      <w:r w:rsidR="00060E40" w:rsidRPr="006065A2">
        <w:rPr>
          <w:rFonts w:eastAsia="Batang"/>
          <w:b/>
          <w:sz w:val="22"/>
          <w:szCs w:val="22"/>
          <w:lang w:eastAsia="ko-KR"/>
        </w:rPr>
        <w:t xml:space="preserve"> transmits PDSCH on parts or whole of single BWP where CCA is successful at </w:t>
      </w:r>
      <w:proofErr w:type="spellStart"/>
      <w:r w:rsidR="00060E40" w:rsidRPr="006065A2">
        <w:rPr>
          <w:rFonts w:eastAsia="Batang"/>
          <w:b/>
          <w:sz w:val="22"/>
          <w:szCs w:val="22"/>
          <w:lang w:eastAsia="ko-KR"/>
        </w:rPr>
        <w:t>gNB</w:t>
      </w:r>
      <w:proofErr w:type="spellEnd"/>
    </w:p>
    <w:p w14:paraId="48FA7D15" w14:textId="5C203BF3" w:rsidR="00060E40" w:rsidRPr="006065A2" w:rsidRDefault="006065A2" w:rsidP="00060E40">
      <w:pPr>
        <w:pStyle w:val="afc"/>
        <w:numPr>
          <w:ilvl w:val="0"/>
          <w:numId w:val="14"/>
        </w:numPr>
        <w:spacing w:before="120" w:after="120"/>
        <w:ind w:leftChars="0"/>
        <w:rPr>
          <w:rFonts w:eastAsia="Batang"/>
          <w:b/>
          <w:sz w:val="22"/>
          <w:szCs w:val="22"/>
          <w:lang w:eastAsia="ko-KR"/>
        </w:rPr>
      </w:pPr>
      <w:r>
        <w:rPr>
          <w:rFonts w:eastAsia="Batang"/>
          <w:b/>
          <w:sz w:val="22"/>
          <w:szCs w:val="22"/>
          <w:lang w:eastAsia="ko-KR"/>
        </w:rPr>
        <w:t>M</w:t>
      </w:r>
      <w:r w:rsidR="00060E40" w:rsidRPr="006065A2">
        <w:rPr>
          <w:rFonts w:eastAsia="Batang"/>
          <w:b/>
          <w:sz w:val="22"/>
          <w:szCs w:val="22"/>
          <w:lang w:eastAsia="ko-KR"/>
        </w:rPr>
        <w:t>ultiple BWPs can be configured, single BWP activated, UE transmits PUSCH on parts or whole of single BWP where CCA is successful at UE</w:t>
      </w:r>
    </w:p>
    <w:p w14:paraId="5C7DD279" w14:textId="1C44E757" w:rsidR="00AD3D0B" w:rsidRDefault="00AD3D0B" w:rsidP="00516B6D">
      <w:pPr>
        <w:spacing w:afterLines="50" w:after="120"/>
        <w:rPr>
          <w:rFonts w:eastAsia="ＭＳ 明朝"/>
          <w:b/>
          <w:sz w:val="22"/>
        </w:rPr>
      </w:pPr>
    </w:p>
    <w:p w14:paraId="1A6BC010" w14:textId="77777777" w:rsidR="00516B6D" w:rsidRPr="00516B6D" w:rsidRDefault="00516B6D" w:rsidP="00AE70FC">
      <w:pPr>
        <w:rPr>
          <w:rFonts w:eastAsia="ＭＳ 明朝"/>
          <w:b/>
          <w:sz w:val="22"/>
        </w:rPr>
      </w:pPr>
      <w:bookmarkStart w:id="3" w:name="_GoBack"/>
      <w:bookmarkEnd w:id="3"/>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5BA8C4B9"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1CAB167E" w14:textId="77777777" w:rsidR="00507E25" w:rsidRDefault="00507E25" w:rsidP="00507E25">
      <w:pPr>
        <w:spacing w:before="120" w:after="120"/>
        <w:rPr>
          <w:rFonts w:eastAsia="Batang"/>
          <w:b/>
          <w:sz w:val="22"/>
          <w:szCs w:val="22"/>
          <w:lang w:eastAsia="ko-KR"/>
        </w:rPr>
      </w:pPr>
      <w:r w:rsidRPr="008D4091">
        <w:rPr>
          <w:rFonts w:eastAsia="Batang"/>
          <w:b/>
          <w:sz w:val="22"/>
          <w:szCs w:val="22"/>
          <w:lang w:eastAsia="ko-KR"/>
        </w:rPr>
        <w:t>Proposal</w:t>
      </w:r>
      <w:r>
        <w:rPr>
          <w:rFonts w:eastAsia="Batang"/>
          <w:b/>
          <w:sz w:val="22"/>
          <w:szCs w:val="22"/>
          <w:lang w:eastAsia="ko-KR"/>
        </w:rPr>
        <w:t>: For DL and UL in NR-U, wideband operation based on following mechanisms is supported.</w:t>
      </w:r>
    </w:p>
    <w:p w14:paraId="6A8AB1AB" w14:textId="77777777" w:rsidR="00507E25" w:rsidRDefault="00507E25" w:rsidP="00507E25">
      <w:pPr>
        <w:pStyle w:val="afc"/>
        <w:numPr>
          <w:ilvl w:val="0"/>
          <w:numId w:val="14"/>
        </w:numPr>
        <w:spacing w:before="120" w:after="120"/>
        <w:ind w:leftChars="0"/>
        <w:rPr>
          <w:rFonts w:eastAsia="Batang"/>
          <w:b/>
          <w:sz w:val="22"/>
          <w:szCs w:val="22"/>
          <w:lang w:eastAsia="ko-KR"/>
        </w:rPr>
      </w:pPr>
      <w:r>
        <w:rPr>
          <w:rFonts w:eastAsia="Batang"/>
          <w:b/>
          <w:sz w:val="22"/>
          <w:szCs w:val="22"/>
          <w:lang w:eastAsia="ko-KR"/>
        </w:rPr>
        <w:t>M</w:t>
      </w:r>
      <w:r w:rsidRPr="006065A2">
        <w:rPr>
          <w:rFonts w:eastAsia="Batang"/>
          <w:b/>
          <w:sz w:val="22"/>
          <w:szCs w:val="22"/>
          <w:lang w:eastAsia="ko-KR"/>
        </w:rPr>
        <w:t xml:space="preserve">ultiple BWPs can be configured, single BWP activated, </w:t>
      </w:r>
      <w:proofErr w:type="spellStart"/>
      <w:r w:rsidRPr="006065A2">
        <w:rPr>
          <w:rFonts w:eastAsia="Batang"/>
          <w:b/>
          <w:sz w:val="22"/>
          <w:szCs w:val="22"/>
          <w:lang w:eastAsia="ko-KR"/>
        </w:rPr>
        <w:t>gNB</w:t>
      </w:r>
      <w:proofErr w:type="spellEnd"/>
      <w:r w:rsidRPr="006065A2">
        <w:rPr>
          <w:rFonts w:eastAsia="Batang"/>
          <w:b/>
          <w:sz w:val="22"/>
          <w:szCs w:val="22"/>
          <w:lang w:eastAsia="ko-KR"/>
        </w:rPr>
        <w:t xml:space="preserve"> transmits PDSCH on parts or whole of single BWP where CCA is successful at </w:t>
      </w:r>
      <w:proofErr w:type="spellStart"/>
      <w:r w:rsidRPr="006065A2">
        <w:rPr>
          <w:rFonts w:eastAsia="Batang"/>
          <w:b/>
          <w:sz w:val="22"/>
          <w:szCs w:val="22"/>
          <w:lang w:eastAsia="ko-KR"/>
        </w:rPr>
        <w:t>gNB</w:t>
      </w:r>
      <w:proofErr w:type="spellEnd"/>
    </w:p>
    <w:p w14:paraId="65CEDB6A" w14:textId="77777777" w:rsidR="00507E25" w:rsidRPr="006065A2" w:rsidRDefault="00507E25" w:rsidP="00507E25">
      <w:pPr>
        <w:pStyle w:val="afc"/>
        <w:numPr>
          <w:ilvl w:val="0"/>
          <w:numId w:val="14"/>
        </w:numPr>
        <w:spacing w:before="120" w:after="120"/>
        <w:ind w:leftChars="0"/>
        <w:rPr>
          <w:rFonts w:eastAsia="Batang"/>
          <w:b/>
          <w:sz w:val="22"/>
          <w:szCs w:val="22"/>
          <w:lang w:eastAsia="ko-KR"/>
        </w:rPr>
      </w:pPr>
      <w:r>
        <w:rPr>
          <w:rFonts w:eastAsia="Batang"/>
          <w:b/>
          <w:sz w:val="22"/>
          <w:szCs w:val="22"/>
          <w:lang w:eastAsia="ko-KR"/>
        </w:rPr>
        <w:t>M</w:t>
      </w:r>
      <w:r w:rsidRPr="006065A2">
        <w:rPr>
          <w:rFonts w:eastAsia="Batang"/>
          <w:b/>
          <w:sz w:val="22"/>
          <w:szCs w:val="22"/>
          <w:lang w:eastAsia="ko-KR"/>
        </w:rPr>
        <w:t>ultiple BWPs can be configured, single BWP activated, UE transmits PUSCH on parts or whole of single BWP where CCA is successful at UE</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65408370" w14:textId="5F25326A" w:rsidR="00555385" w:rsidRDefault="00484F06" w:rsidP="0055538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66C9B1CF" w14:textId="2B0F05FF" w:rsidR="00CB2B50" w:rsidRPr="00CB2B50" w:rsidRDefault="00CB2B50" w:rsidP="00CB2B50">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w:t>
      </w:r>
      <w:r w:rsidRPr="00CB2B50">
        <w:rPr>
          <w:rFonts w:eastAsia="ＭＳ 明朝"/>
          <w:sz w:val="22"/>
        </w:rPr>
        <w:t>R1-1900008</w:t>
      </w:r>
      <w:r>
        <w:rPr>
          <w:rFonts w:eastAsia="ＭＳ 明朝"/>
          <w:sz w:val="22"/>
        </w:rPr>
        <w:t xml:space="preserve">, </w:t>
      </w:r>
      <w:r w:rsidRPr="00CB2B50">
        <w:rPr>
          <w:rFonts w:eastAsia="ＭＳ 明朝"/>
          <w:sz w:val="22"/>
        </w:rPr>
        <w:t>RAN WG4</w:t>
      </w:r>
      <w:r>
        <w:rPr>
          <w:rFonts w:eastAsia="ＭＳ 明朝"/>
          <w:sz w:val="22"/>
        </w:rPr>
        <w:t>, “</w:t>
      </w:r>
      <w:r w:rsidRPr="00CB2B50">
        <w:rPr>
          <w:rFonts w:eastAsia="ＭＳ 明朝"/>
          <w:sz w:val="22"/>
        </w:rPr>
        <w:t>Reply LS on wideband carrier operation for NR-U</w:t>
      </w:r>
      <w:r>
        <w:rPr>
          <w:rFonts w:eastAsia="ＭＳ 明朝"/>
          <w:sz w:val="22"/>
        </w:rPr>
        <w:t>,” Jan. 2019.</w:t>
      </w:r>
    </w:p>
    <w:sectPr w:rsidR="00CB2B50" w:rsidRPr="00CB2B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36570" w14:textId="77777777" w:rsidR="00A1129F" w:rsidRDefault="00A1129F">
      <w:r>
        <w:separator/>
      </w:r>
    </w:p>
  </w:endnote>
  <w:endnote w:type="continuationSeparator" w:id="0">
    <w:p w14:paraId="75C77D48" w14:textId="77777777" w:rsidR="00A1129F" w:rsidRDefault="00A1129F">
      <w:r>
        <w:continuationSeparator/>
      </w:r>
    </w:p>
  </w:endnote>
  <w:endnote w:type="continuationNotice" w:id="1">
    <w:p w14:paraId="7E49264E" w14:textId="77777777" w:rsidR="00A1129F" w:rsidRDefault="00A11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C96F17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6B6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6B6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AA208" w14:textId="77777777" w:rsidR="00A1129F" w:rsidRDefault="00A1129F">
      <w:r>
        <w:separator/>
      </w:r>
    </w:p>
  </w:footnote>
  <w:footnote w:type="continuationSeparator" w:id="0">
    <w:p w14:paraId="31945F47" w14:textId="77777777" w:rsidR="00A1129F" w:rsidRDefault="00A1129F">
      <w:r>
        <w:continuationSeparator/>
      </w:r>
    </w:p>
  </w:footnote>
  <w:footnote w:type="continuationNotice" w:id="1">
    <w:p w14:paraId="4758DE79" w14:textId="77777777" w:rsidR="00A1129F" w:rsidRDefault="00A1129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3"/>
  </w:num>
  <w:num w:numId="6">
    <w:abstractNumId w:val="6"/>
  </w:num>
  <w:num w:numId="7">
    <w:abstractNumId w:val="12"/>
  </w:num>
  <w:num w:numId="8">
    <w:abstractNumId w:val="1"/>
  </w:num>
  <w:num w:numId="9">
    <w:abstractNumId w:val="5"/>
  </w:num>
  <w:num w:numId="10">
    <w:abstractNumId w:val="3"/>
  </w:num>
  <w:num w:numId="11">
    <w:abstractNumId w:val="7"/>
  </w:num>
  <w:num w:numId="12">
    <w:abstractNumId w:val="11"/>
  </w:num>
  <w:num w:numId="13">
    <w:abstractNumId w:val="9"/>
  </w:num>
  <w:num w:numId="1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84C"/>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ED09C-317A-46CB-9C48-8E2450C2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1197</Words>
  <Characters>6825</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2017-08-09T04:40:00Z</cp:lastPrinted>
  <dcterms:created xsi:type="dcterms:W3CDTF">2019-01-12T03:06:00Z</dcterms:created>
  <dcterms:modified xsi:type="dcterms:W3CDTF">2019-01-12T03:34:00Z</dcterms:modified>
</cp:coreProperties>
</file>